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EE" w:rsidRPr="0064607E" w:rsidRDefault="00EE619C" w:rsidP="00B04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607E">
        <w:rPr>
          <w:rFonts w:ascii="Times New Roman" w:hAnsi="Times New Roman" w:cs="Times New Roman"/>
          <w:b/>
          <w:sz w:val="24"/>
          <w:szCs w:val="24"/>
        </w:rPr>
        <w:t xml:space="preserve">Астана </w:t>
      </w:r>
      <w:proofErr w:type="spellStart"/>
      <w:r w:rsidRPr="0064607E">
        <w:rPr>
          <w:rFonts w:ascii="Times New Roman" w:hAnsi="Times New Roman" w:cs="Times New Roman"/>
          <w:b/>
          <w:sz w:val="24"/>
          <w:szCs w:val="24"/>
        </w:rPr>
        <w:t>қаласы</w:t>
      </w:r>
      <w:proofErr w:type="spellEnd"/>
      <w:r w:rsidRPr="006460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4607E">
        <w:rPr>
          <w:rFonts w:ascii="Times New Roman" w:hAnsi="Times New Roman" w:cs="Times New Roman"/>
          <w:b/>
          <w:sz w:val="24"/>
          <w:szCs w:val="24"/>
        </w:rPr>
        <w:t>әкімдігінің</w:t>
      </w:r>
      <w:proofErr w:type="spellEnd"/>
      <w:r w:rsidR="00C713EE" w:rsidRPr="00646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3EE" w:rsidRPr="0064607E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C713EE" w:rsidRPr="0064607E">
        <w:rPr>
          <w:rFonts w:ascii="Times New Roman" w:hAnsi="Times New Roman" w:cs="Times New Roman"/>
          <w:b/>
          <w:sz w:val="24"/>
          <w:szCs w:val="24"/>
        </w:rPr>
        <w:t xml:space="preserve">№ 3 </w:t>
      </w:r>
      <w:proofErr w:type="spellStart"/>
      <w:r w:rsidR="00C713EE" w:rsidRPr="0064607E">
        <w:rPr>
          <w:rFonts w:ascii="Times New Roman" w:hAnsi="Times New Roman" w:cs="Times New Roman"/>
          <w:b/>
          <w:sz w:val="24"/>
          <w:szCs w:val="24"/>
        </w:rPr>
        <w:t>қалалық</w:t>
      </w:r>
      <w:proofErr w:type="spellEnd"/>
      <w:r w:rsidR="00C713EE" w:rsidRPr="006460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13EE" w:rsidRPr="0064607E">
        <w:rPr>
          <w:rFonts w:ascii="Times New Roman" w:hAnsi="Times New Roman" w:cs="Times New Roman"/>
          <w:b/>
          <w:sz w:val="24"/>
          <w:szCs w:val="24"/>
        </w:rPr>
        <w:t>емхана</w:t>
      </w:r>
      <w:proofErr w:type="spellEnd"/>
      <w:r w:rsidR="00C713EE" w:rsidRPr="0064607E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Pr="0064607E">
        <w:rPr>
          <w:rFonts w:ascii="Times New Roman" w:hAnsi="Times New Roman" w:cs="Times New Roman"/>
          <w:b/>
          <w:sz w:val="24"/>
          <w:szCs w:val="24"/>
        </w:rPr>
        <w:t xml:space="preserve"> ШЖҚ МКК</w:t>
      </w:r>
      <w:r w:rsidR="00C713EE" w:rsidRPr="0064607E">
        <w:rPr>
          <w:rFonts w:ascii="Times New Roman" w:hAnsi="Times New Roman" w:cs="Times New Roman"/>
          <w:b/>
          <w:sz w:val="24"/>
          <w:szCs w:val="24"/>
        </w:rPr>
        <w:t>-н</w:t>
      </w:r>
      <w:r w:rsidR="00C713EE" w:rsidRPr="0064607E">
        <w:rPr>
          <w:rFonts w:ascii="Times New Roman" w:hAnsi="Times New Roman" w:cs="Times New Roman"/>
          <w:b/>
          <w:sz w:val="24"/>
          <w:szCs w:val="24"/>
          <w:lang w:val="kk-KZ"/>
        </w:rPr>
        <w:t>ың</w:t>
      </w:r>
    </w:p>
    <w:p w:rsidR="00EE619C" w:rsidRPr="0064607E" w:rsidRDefault="00C713EE" w:rsidP="00B04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4607E">
        <w:rPr>
          <w:rFonts w:ascii="Times New Roman" w:hAnsi="Times New Roman" w:cs="Times New Roman"/>
          <w:b/>
          <w:sz w:val="24"/>
          <w:szCs w:val="24"/>
          <w:lang w:val="kk-KZ"/>
        </w:rPr>
        <w:t>2024 жылдың бірінші тоқсанданағы</w:t>
      </w:r>
      <w:r w:rsidRPr="0064607E">
        <w:rPr>
          <w:sz w:val="24"/>
          <w:szCs w:val="24"/>
          <w:lang w:val="kk-KZ"/>
        </w:rPr>
        <w:t xml:space="preserve"> </w:t>
      </w:r>
      <w:r w:rsidRPr="0064607E">
        <w:rPr>
          <w:rFonts w:ascii="Times New Roman" w:hAnsi="Times New Roman" w:cs="Times New Roman"/>
          <w:b/>
          <w:sz w:val="24"/>
          <w:szCs w:val="24"/>
          <w:lang w:val="kk-KZ"/>
        </w:rPr>
        <w:t>Есебі</w:t>
      </w:r>
    </w:p>
    <w:p w:rsidR="00490AEE" w:rsidRPr="0064607E" w:rsidRDefault="00490AEE" w:rsidP="00B04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90AEE" w:rsidRPr="00312D27" w:rsidRDefault="00FB76F5" w:rsidP="00B04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12D27">
        <w:rPr>
          <w:rFonts w:ascii="Times New Roman" w:hAnsi="Times New Roman" w:cs="Times New Roman"/>
          <w:sz w:val="20"/>
          <w:szCs w:val="20"/>
          <w:lang w:val="kk-KZ"/>
        </w:rPr>
        <w:t xml:space="preserve">Астана қаласы әкімдігінің «№3 қалалық емхана» ШЖҚ МКК-ны </w:t>
      </w:r>
      <w:r w:rsidR="00EE619C" w:rsidRPr="00312D27">
        <w:rPr>
          <w:rFonts w:ascii="Times New Roman" w:hAnsi="Times New Roman" w:cs="Times New Roman"/>
          <w:sz w:val="20"/>
          <w:szCs w:val="20"/>
          <w:lang w:val="kk-KZ"/>
        </w:rPr>
        <w:t xml:space="preserve">(бұдан әрі – Емхана) бекітілген </w:t>
      </w:r>
      <w:r w:rsidRPr="00312D27">
        <w:rPr>
          <w:rFonts w:ascii="Times New Roman" w:hAnsi="Times New Roman" w:cs="Times New Roman"/>
          <w:sz w:val="20"/>
          <w:szCs w:val="20"/>
          <w:lang w:val="kk-KZ"/>
        </w:rPr>
        <w:t xml:space="preserve">тұрғындарға </w:t>
      </w:r>
      <w:r w:rsidR="00EE619C" w:rsidRPr="00312D27">
        <w:rPr>
          <w:rFonts w:ascii="Times New Roman" w:hAnsi="Times New Roman" w:cs="Times New Roman"/>
          <w:sz w:val="20"/>
          <w:szCs w:val="20"/>
          <w:lang w:val="kk-KZ"/>
        </w:rPr>
        <w:t>алғашқы медициналық-санитарлық көмек, консультациялық-диагностикалық, мамандандырылған емдеу және стационарлық көмек көрсетеді. Клиника қызметінің негізгі принциптері:</w:t>
      </w:r>
    </w:p>
    <w:p w:rsidR="00E12986" w:rsidRPr="00312D27" w:rsidRDefault="00E12986" w:rsidP="00B044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12D27">
        <w:rPr>
          <w:rFonts w:ascii="Times New Roman" w:hAnsi="Times New Roman" w:cs="Times New Roman"/>
          <w:sz w:val="20"/>
          <w:szCs w:val="20"/>
          <w:lang w:val="kk-KZ"/>
        </w:rPr>
        <w:t>• ересектерге консультациялық-диагностикалық көмек көрсету және балалар халқы үшін медициналық көмектің абсолютті қолжетімділік принципі;</w:t>
      </w:r>
    </w:p>
    <w:p w:rsidR="00E12986" w:rsidRPr="00312D27" w:rsidRDefault="00E12986" w:rsidP="00B044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12D27">
        <w:rPr>
          <w:rFonts w:ascii="Times New Roman" w:hAnsi="Times New Roman" w:cs="Times New Roman"/>
          <w:sz w:val="20"/>
          <w:szCs w:val="20"/>
          <w:lang w:val="kk-KZ"/>
        </w:rPr>
        <w:t>• пациенттің м</w:t>
      </w:r>
      <w:r w:rsidR="003A77C0" w:rsidRPr="00312D27">
        <w:rPr>
          <w:rFonts w:ascii="Times New Roman" w:hAnsi="Times New Roman" w:cs="Times New Roman"/>
          <w:sz w:val="20"/>
          <w:szCs w:val="20"/>
          <w:lang w:val="kk-KZ"/>
        </w:rPr>
        <w:t>едициналық көмекке қанағаттануы;</w:t>
      </w:r>
    </w:p>
    <w:p w:rsidR="00E12986" w:rsidRPr="00312D27" w:rsidRDefault="00E12986" w:rsidP="00B044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12D27">
        <w:rPr>
          <w:rFonts w:ascii="Times New Roman" w:hAnsi="Times New Roman" w:cs="Times New Roman"/>
          <w:sz w:val="20"/>
          <w:szCs w:val="20"/>
          <w:lang w:val="kk-KZ"/>
        </w:rPr>
        <w:t>• медициналық көмек көрсетудегі жоғары кәсіби деңгей;</w:t>
      </w:r>
    </w:p>
    <w:p w:rsidR="00E12986" w:rsidRPr="00312D27" w:rsidRDefault="00FB76F5" w:rsidP="00B044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12D27">
        <w:rPr>
          <w:rFonts w:ascii="Times New Roman" w:hAnsi="Times New Roman" w:cs="Times New Roman"/>
          <w:sz w:val="20"/>
          <w:szCs w:val="20"/>
          <w:lang w:val="kk-KZ"/>
        </w:rPr>
        <w:t xml:space="preserve">• </w:t>
      </w:r>
      <w:r w:rsidR="00E12986" w:rsidRPr="00312D27">
        <w:rPr>
          <w:rFonts w:ascii="Times New Roman" w:hAnsi="Times New Roman" w:cs="Times New Roman"/>
          <w:sz w:val="20"/>
          <w:szCs w:val="20"/>
          <w:lang w:val="kk-KZ"/>
        </w:rPr>
        <w:t>медициналық көмектің кепілдік берілген көлемі шеңберінде қызмет көрсетілетін халықты қамтамасыз ету;</w:t>
      </w:r>
    </w:p>
    <w:p w:rsidR="00E12986" w:rsidRPr="00312D27" w:rsidRDefault="00E12986" w:rsidP="00B044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12D27">
        <w:rPr>
          <w:rFonts w:ascii="Times New Roman" w:hAnsi="Times New Roman" w:cs="Times New Roman"/>
          <w:sz w:val="20"/>
          <w:szCs w:val="20"/>
          <w:lang w:val="kk-KZ"/>
        </w:rPr>
        <w:t>• міндетті медициналық сақтандыру шеңберінде медициналық көмек көрсету;</w:t>
      </w:r>
    </w:p>
    <w:p w:rsidR="00E12986" w:rsidRPr="00312D27" w:rsidRDefault="00E12986" w:rsidP="00B0447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12D27">
        <w:rPr>
          <w:rFonts w:ascii="Times New Roman" w:hAnsi="Times New Roman" w:cs="Times New Roman"/>
          <w:sz w:val="20"/>
          <w:szCs w:val="20"/>
          <w:lang w:val="kk-KZ"/>
        </w:rPr>
        <w:t>• ересектер мен балалар арасында жыл сайынғы скринингтік сауалнама жүргізу.</w:t>
      </w:r>
    </w:p>
    <w:p w:rsidR="00E12986" w:rsidRPr="00312D27" w:rsidRDefault="00E12986" w:rsidP="00B04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12D27">
        <w:rPr>
          <w:rFonts w:ascii="Times New Roman" w:hAnsi="Times New Roman" w:cs="Times New Roman"/>
          <w:sz w:val="20"/>
          <w:szCs w:val="20"/>
          <w:lang w:val="kk-KZ"/>
        </w:rPr>
        <w:t>Емхананың жоспарлы қуаттылығы ауысымына 200 келушіні құрайды. Емхана ғимаратында әкімшілік, қабылдау, терапия және ЖТ</w:t>
      </w:r>
      <w:r w:rsidR="003A77C0" w:rsidRPr="00312D27">
        <w:rPr>
          <w:rFonts w:ascii="Times New Roman" w:hAnsi="Times New Roman" w:cs="Times New Roman"/>
          <w:sz w:val="20"/>
          <w:szCs w:val="20"/>
          <w:lang w:val="kk-KZ"/>
        </w:rPr>
        <w:t>Д</w:t>
      </w:r>
      <w:r w:rsidRPr="00312D27">
        <w:rPr>
          <w:rFonts w:ascii="Times New Roman" w:hAnsi="Times New Roman" w:cs="Times New Roman"/>
          <w:sz w:val="20"/>
          <w:szCs w:val="20"/>
          <w:lang w:val="kk-KZ"/>
        </w:rPr>
        <w:t xml:space="preserve"> бөлімдері, мамандандырылған бөлім, зертханалық-диагностикалық бөлім, күндізгі стац</w:t>
      </w:r>
      <w:r w:rsidR="003A77C0" w:rsidRPr="00312D27">
        <w:rPr>
          <w:rFonts w:ascii="Times New Roman" w:hAnsi="Times New Roman" w:cs="Times New Roman"/>
          <w:sz w:val="20"/>
          <w:szCs w:val="20"/>
          <w:lang w:val="kk-KZ"/>
        </w:rPr>
        <w:t>ионар, есеп-экономикалық бөлімд</w:t>
      </w:r>
      <w:r w:rsidRPr="00312D27">
        <w:rPr>
          <w:rFonts w:ascii="Times New Roman" w:hAnsi="Times New Roman" w:cs="Times New Roman"/>
          <w:sz w:val="20"/>
          <w:szCs w:val="20"/>
          <w:lang w:val="kk-KZ"/>
        </w:rPr>
        <w:t>ер орналасқан.</w:t>
      </w:r>
    </w:p>
    <w:p w:rsidR="00E12986" w:rsidRPr="00312D27" w:rsidRDefault="00E12986" w:rsidP="00B04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12D27">
        <w:rPr>
          <w:rFonts w:ascii="Times New Roman" w:hAnsi="Times New Roman" w:cs="Times New Roman"/>
          <w:sz w:val="20"/>
          <w:szCs w:val="20"/>
          <w:lang w:val="kk-KZ"/>
        </w:rPr>
        <w:t>Емхананың 1 филиалы бар, ол 5-қабат</w:t>
      </w:r>
      <w:r w:rsidR="00B45E76" w:rsidRPr="00312D27">
        <w:rPr>
          <w:rFonts w:ascii="Times New Roman" w:hAnsi="Times New Roman" w:cs="Times New Roman"/>
          <w:sz w:val="20"/>
          <w:szCs w:val="20"/>
          <w:lang w:val="kk-KZ"/>
        </w:rPr>
        <w:t xml:space="preserve">ты тұрғын үйдің 1-қабатында: </w:t>
      </w:r>
      <w:r w:rsidRPr="00312D27">
        <w:rPr>
          <w:rFonts w:ascii="Times New Roman" w:hAnsi="Times New Roman" w:cs="Times New Roman"/>
          <w:sz w:val="20"/>
          <w:szCs w:val="20"/>
          <w:lang w:val="kk-KZ"/>
        </w:rPr>
        <w:t xml:space="preserve"> Біржан сал</w:t>
      </w:r>
      <w:r w:rsidR="00B45E76" w:rsidRPr="00312D27">
        <w:rPr>
          <w:rFonts w:ascii="Times New Roman" w:hAnsi="Times New Roman" w:cs="Times New Roman"/>
          <w:sz w:val="20"/>
          <w:szCs w:val="20"/>
          <w:lang w:val="kk-KZ"/>
        </w:rPr>
        <w:t xml:space="preserve"> көш.</w:t>
      </w:r>
      <w:r w:rsidRPr="00312D27">
        <w:rPr>
          <w:rFonts w:ascii="Times New Roman" w:hAnsi="Times New Roman" w:cs="Times New Roman"/>
          <w:sz w:val="20"/>
          <w:szCs w:val="20"/>
          <w:lang w:val="kk-KZ"/>
        </w:rPr>
        <w:t>, 1, мұнда акушерлік және гинекология бөлімі, профилактика және әлеуметтік-психология</w:t>
      </w:r>
      <w:r w:rsidR="00B45E76" w:rsidRPr="00312D27">
        <w:rPr>
          <w:rFonts w:ascii="Times New Roman" w:hAnsi="Times New Roman" w:cs="Times New Roman"/>
          <w:sz w:val="20"/>
          <w:szCs w:val="20"/>
          <w:lang w:val="kk-KZ"/>
        </w:rPr>
        <w:t>лық көмек көрсету бөлімі, «Жас-Т</w:t>
      </w:r>
      <w:r w:rsidRPr="00312D27">
        <w:rPr>
          <w:rFonts w:ascii="Times New Roman" w:hAnsi="Times New Roman" w:cs="Times New Roman"/>
          <w:sz w:val="20"/>
          <w:szCs w:val="20"/>
          <w:lang w:val="kk-KZ"/>
        </w:rPr>
        <w:t>олқын» жастар</w:t>
      </w:r>
      <w:r w:rsidR="00B45E76" w:rsidRPr="00312D27">
        <w:rPr>
          <w:rFonts w:ascii="Times New Roman" w:hAnsi="Times New Roman" w:cs="Times New Roman"/>
          <w:sz w:val="20"/>
          <w:szCs w:val="20"/>
          <w:lang w:val="kk-KZ"/>
        </w:rPr>
        <w:t xml:space="preserve"> денсаулық орталығы және оңалту-</w:t>
      </w:r>
      <w:r w:rsidRPr="00312D27">
        <w:rPr>
          <w:rFonts w:ascii="Times New Roman" w:hAnsi="Times New Roman" w:cs="Times New Roman"/>
          <w:sz w:val="20"/>
          <w:szCs w:val="20"/>
          <w:lang w:val="kk-KZ"/>
        </w:rPr>
        <w:t>емдеу бөлімі орналасқан.</w:t>
      </w:r>
    </w:p>
    <w:p w:rsidR="00E12986" w:rsidRPr="00312D27" w:rsidRDefault="00E12986" w:rsidP="00B04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12D27">
        <w:rPr>
          <w:rFonts w:ascii="Times New Roman" w:hAnsi="Times New Roman" w:cs="Times New Roman"/>
          <w:sz w:val="20"/>
          <w:szCs w:val="20"/>
          <w:lang w:val="kk-KZ"/>
        </w:rPr>
        <w:t xml:space="preserve">Емхана қызмет көрсететін тұрғындардың ерекшелігі – тіркелген тұрғындардың 70 пайыздан астамы жоғары оқу орындары мен колледждердің студенттері. </w:t>
      </w:r>
      <w:r w:rsidR="003F0A2D" w:rsidRPr="00312D27">
        <w:rPr>
          <w:rFonts w:ascii="Times New Roman" w:hAnsi="Times New Roman" w:cs="Times New Roman"/>
          <w:sz w:val="20"/>
          <w:szCs w:val="20"/>
          <w:lang w:val="kk-KZ"/>
        </w:rPr>
        <w:t xml:space="preserve">Емхана жасөспірімдерге, </w:t>
      </w:r>
      <w:r w:rsidR="00B45E76" w:rsidRPr="00312D27">
        <w:rPr>
          <w:rFonts w:ascii="Times New Roman" w:hAnsi="Times New Roman" w:cs="Times New Roman"/>
          <w:sz w:val="20"/>
          <w:szCs w:val="20"/>
          <w:lang w:val="kk-KZ"/>
        </w:rPr>
        <w:t>№</w:t>
      </w:r>
      <w:r w:rsidRPr="00312D27">
        <w:rPr>
          <w:rFonts w:ascii="Times New Roman" w:hAnsi="Times New Roman" w:cs="Times New Roman"/>
          <w:sz w:val="20"/>
          <w:szCs w:val="20"/>
          <w:lang w:val="kk-KZ"/>
        </w:rPr>
        <w:t>39 мектептің оқушыларына, сондай-ақ кәсіптік-техникалық колледж студенттеріне және университеттің күндізгі бөлімінде оқитын студенттерге қызмет көрсетеді.</w:t>
      </w:r>
    </w:p>
    <w:p w:rsidR="00E12986" w:rsidRPr="00312D27" w:rsidRDefault="00E12986" w:rsidP="00B04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12D27">
        <w:rPr>
          <w:rFonts w:ascii="Times New Roman" w:hAnsi="Times New Roman" w:cs="Times New Roman"/>
          <w:sz w:val="20"/>
          <w:szCs w:val="20"/>
          <w:lang w:val="kk-KZ"/>
        </w:rPr>
        <w:t>Сонымен қатар, «Мемлекеттік сатып алу туралы» Қазақстан Республикасын</w:t>
      </w:r>
      <w:r w:rsidR="003F0A2D" w:rsidRPr="00312D27">
        <w:rPr>
          <w:rFonts w:ascii="Times New Roman" w:hAnsi="Times New Roman" w:cs="Times New Roman"/>
          <w:sz w:val="20"/>
          <w:szCs w:val="20"/>
          <w:lang w:val="kk-KZ"/>
        </w:rPr>
        <w:t>ың 2015 жылғы 4 желтоқсандағы №</w:t>
      </w:r>
      <w:r w:rsidR="003717F3" w:rsidRPr="00312D27">
        <w:rPr>
          <w:rFonts w:ascii="Times New Roman" w:hAnsi="Times New Roman" w:cs="Times New Roman"/>
          <w:sz w:val="20"/>
          <w:szCs w:val="20"/>
          <w:lang w:val="kk-KZ"/>
        </w:rPr>
        <w:t xml:space="preserve"> 434-V ЗРК Заңына сәйкес, </w:t>
      </w:r>
      <w:r w:rsidRPr="00312D27">
        <w:rPr>
          <w:rFonts w:ascii="Times New Roman" w:hAnsi="Times New Roman" w:cs="Times New Roman"/>
          <w:sz w:val="20"/>
          <w:szCs w:val="20"/>
          <w:lang w:val="kk-KZ"/>
        </w:rPr>
        <w:t>Емхана базасында жыл сайын әскерге шақырылған студенттерді, әскери кафедраға, әскери дайындыққа, келісімшарт бойынша қызметке шақырылған студенттерді және 27 жастан асқан адамдарды медициналық тексеруден өткізеді.</w:t>
      </w:r>
    </w:p>
    <w:p w:rsidR="00E12986" w:rsidRPr="00312D27" w:rsidRDefault="00C2070E" w:rsidP="00B04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12D27">
        <w:rPr>
          <w:rFonts w:ascii="Times New Roman" w:hAnsi="Times New Roman" w:cs="Times New Roman"/>
          <w:sz w:val="20"/>
          <w:szCs w:val="20"/>
          <w:lang w:val="kk-KZ"/>
        </w:rPr>
        <w:t xml:space="preserve">Емхана және «Әлеуметтік медициналық сақтандыру қоры» АҚ коммерциялық емес акционерлік қоғамы </w:t>
      </w:r>
      <w:r w:rsidR="009C16DB" w:rsidRPr="00312D27">
        <w:rPr>
          <w:rFonts w:ascii="Times New Roman" w:hAnsi="Times New Roman" w:cs="Times New Roman"/>
          <w:sz w:val="20"/>
          <w:szCs w:val="20"/>
          <w:lang w:val="kk-KZ"/>
        </w:rPr>
        <w:t>арасында</w:t>
      </w:r>
      <w:r w:rsidR="00012AEB" w:rsidRPr="00312D27">
        <w:rPr>
          <w:rFonts w:ascii="Times New Roman" w:hAnsi="Times New Roman" w:cs="Times New Roman"/>
          <w:sz w:val="20"/>
          <w:szCs w:val="20"/>
          <w:lang w:val="kk-KZ"/>
        </w:rPr>
        <w:t xml:space="preserve"> 2024 жылға арналған тегін медициналық көмектің кепілдік берілген көлемі шеңберінде және (немесе) міндетті әлеуметтік медициналық сақтандыру жүйесінде медициналық қызметтерді сатып алу туралы 2023 жылғы 31 желтоқсандағы № Е-15-0124- 00141шарты</w:t>
      </w:r>
      <w:r w:rsidRPr="00312D27">
        <w:rPr>
          <w:rFonts w:ascii="Times New Roman" w:hAnsi="Times New Roman" w:cs="Times New Roman"/>
          <w:sz w:val="20"/>
          <w:szCs w:val="20"/>
          <w:lang w:val="kk-KZ"/>
        </w:rPr>
        <w:t xml:space="preserve">, сондай-ақ 2024 жылғы 15 наурыздағы </w:t>
      </w:r>
      <w:r w:rsidR="007274C7" w:rsidRPr="00312D27">
        <w:rPr>
          <w:rFonts w:ascii="Times New Roman" w:hAnsi="Times New Roman" w:cs="Times New Roman"/>
          <w:sz w:val="20"/>
          <w:szCs w:val="20"/>
          <w:lang w:val="kk-KZ"/>
        </w:rPr>
        <w:t xml:space="preserve">№ E-15-0124-00141-2к </w:t>
      </w:r>
      <w:r w:rsidRPr="00312D27">
        <w:rPr>
          <w:rFonts w:ascii="Times New Roman" w:hAnsi="Times New Roman" w:cs="Times New Roman"/>
          <w:sz w:val="20"/>
          <w:szCs w:val="20"/>
          <w:lang w:val="kk-KZ"/>
        </w:rPr>
        <w:t>қосымша келісім</w:t>
      </w:r>
      <w:r w:rsidR="00012AEB" w:rsidRPr="00312D27">
        <w:rPr>
          <w:rFonts w:ascii="Times New Roman" w:hAnsi="Times New Roman" w:cs="Times New Roman"/>
          <w:sz w:val="20"/>
          <w:szCs w:val="20"/>
          <w:lang w:val="kk-KZ"/>
        </w:rPr>
        <w:t>,</w:t>
      </w:r>
      <w:r w:rsidR="00012AEB" w:rsidRPr="00312D27">
        <w:rPr>
          <w:sz w:val="20"/>
          <w:szCs w:val="20"/>
          <w:lang w:val="kk-KZ"/>
        </w:rPr>
        <w:t xml:space="preserve"> </w:t>
      </w:r>
      <w:r w:rsidR="00012AEB" w:rsidRPr="00312D27">
        <w:rPr>
          <w:rFonts w:ascii="Times New Roman" w:hAnsi="Times New Roman" w:cs="Times New Roman"/>
          <w:sz w:val="20"/>
          <w:szCs w:val="20"/>
          <w:lang w:val="kk-KZ"/>
        </w:rPr>
        <w:t xml:space="preserve">2024 жылғы 20  мамырда  №Е-15-0124-00141-4к қосымша келісім </w:t>
      </w:r>
      <w:r w:rsidR="00E12986" w:rsidRPr="00312D27">
        <w:rPr>
          <w:rFonts w:ascii="Times New Roman" w:hAnsi="Times New Roman" w:cs="Times New Roman"/>
          <w:sz w:val="20"/>
          <w:szCs w:val="20"/>
          <w:lang w:val="kk-KZ"/>
        </w:rPr>
        <w:t xml:space="preserve">жасалды. </w:t>
      </w:r>
    </w:p>
    <w:p w:rsidR="00E12986" w:rsidRPr="00312D27" w:rsidRDefault="00E12986" w:rsidP="00B04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12D27">
        <w:rPr>
          <w:rFonts w:ascii="Times New Roman" w:hAnsi="Times New Roman" w:cs="Times New Roman"/>
          <w:sz w:val="20"/>
          <w:szCs w:val="20"/>
          <w:lang w:val="kk-KZ"/>
        </w:rPr>
        <w:t>Жасалған шартқа сәйкес</w:t>
      </w:r>
      <w:r w:rsidR="00B421F7" w:rsidRPr="00312D27">
        <w:rPr>
          <w:rFonts w:ascii="Times New Roman" w:hAnsi="Times New Roman" w:cs="Times New Roman"/>
          <w:sz w:val="20"/>
          <w:szCs w:val="20"/>
          <w:lang w:val="kk-KZ"/>
        </w:rPr>
        <w:t>,</w:t>
      </w:r>
      <w:r w:rsidRPr="00312D27">
        <w:rPr>
          <w:rFonts w:ascii="Times New Roman" w:hAnsi="Times New Roman" w:cs="Times New Roman"/>
          <w:sz w:val="20"/>
          <w:szCs w:val="20"/>
          <w:lang w:val="kk-KZ"/>
        </w:rPr>
        <w:t xml:space="preserve"> тегін медициналық көмектің кепілдік берілген көлемі шеңберінде және (немесе) міндетті медициналық сақтандыру жүйесінде медициналық көмек көрсетуге бөлінген қаражат көлемі:</w:t>
      </w:r>
    </w:p>
    <w:p w:rsidR="00490AEE" w:rsidRPr="002735A8" w:rsidRDefault="00490AEE" w:rsidP="00B04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1275"/>
        <w:gridCol w:w="996"/>
        <w:gridCol w:w="1272"/>
        <w:gridCol w:w="993"/>
        <w:gridCol w:w="1417"/>
      </w:tblGrid>
      <w:tr w:rsidR="00E12986" w:rsidRPr="002735A8" w:rsidTr="003254B3">
        <w:trPr>
          <w:trHeight w:val="316"/>
        </w:trPr>
        <w:tc>
          <w:tcPr>
            <w:tcW w:w="3085" w:type="dxa"/>
            <w:vMerge w:val="restart"/>
            <w:noWrap/>
            <w:hideMark/>
          </w:tcPr>
          <w:p w:rsidR="00E12986" w:rsidRPr="00312D27" w:rsidRDefault="00490AEE" w:rsidP="00312D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12D27">
              <w:rPr>
                <w:rFonts w:ascii="Times New Roman" w:hAnsi="Times New Roman" w:cs="Times New Roman"/>
                <w:b/>
                <w:sz w:val="18"/>
                <w:szCs w:val="18"/>
              </w:rPr>
              <w:t>Қызмет</w:t>
            </w:r>
            <w:proofErr w:type="spellEnd"/>
            <w:r w:rsidRPr="00312D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b/>
                <w:sz w:val="18"/>
                <w:szCs w:val="18"/>
              </w:rPr>
              <w:t>тү</w:t>
            </w:r>
            <w:proofErr w:type="gramStart"/>
            <w:r w:rsidRPr="00312D27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Pr="00312D27">
              <w:rPr>
                <w:rFonts w:ascii="Times New Roman" w:hAnsi="Times New Roman" w:cs="Times New Roman"/>
                <w:b/>
                <w:sz w:val="18"/>
                <w:szCs w:val="18"/>
              </w:rPr>
              <w:t>і</w:t>
            </w:r>
            <w:proofErr w:type="spellEnd"/>
          </w:p>
        </w:tc>
        <w:tc>
          <w:tcPr>
            <w:tcW w:w="3689" w:type="dxa"/>
            <w:gridSpan w:val="3"/>
            <w:noWrap/>
            <w:hideMark/>
          </w:tcPr>
          <w:p w:rsidR="00E12986" w:rsidRPr="00312D27" w:rsidRDefault="00E12986" w:rsidP="00312D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2024 </w:t>
            </w:r>
            <w:proofErr w:type="spellStart"/>
            <w:r w:rsidRPr="00312D27">
              <w:rPr>
                <w:rFonts w:ascii="Times New Roman" w:hAnsi="Times New Roman" w:cs="Times New Roman"/>
                <w:b/>
                <w:sz w:val="18"/>
                <w:szCs w:val="18"/>
              </w:rPr>
              <w:t>жыл</w:t>
            </w:r>
            <w:proofErr w:type="spellEnd"/>
          </w:p>
        </w:tc>
        <w:tc>
          <w:tcPr>
            <w:tcW w:w="3682" w:type="dxa"/>
            <w:gridSpan w:val="3"/>
            <w:noWrap/>
            <w:hideMark/>
          </w:tcPr>
          <w:p w:rsidR="00E12986" w:rsidRPr="00312D27" w:rsidRDefault="00E12986" w:rsidP="00312D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2024 </w:t>
            </w:r>
            <w:proofErr w:type="spellStart"/>
            <w:r w:rsidRPr="00312D27">
              <w:rPr>
                <w:rFonts w:ascii="Times New Roman" w:hAnsi="Times New Roman" w:cs="Times New Roman"/>
                <w:b/>
                <w:sz w:val="18"/>
                <w:szCs w:val="18"/>
              </w:rPr>
              <w:t>жылдың</w:t>
            </w:r>
            <w:proofErr w:type="spellEnd"/>
            <w:r w:rsidRPr="00312D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 </w:t>
            </w:r>
            <w:proofErr w:type="spellStart"/>
            <w:r w:rsidRPr="00312D27">
              <w:rPr>
                <w:rFonts w:ascii="Times New Roman" w:hAnsi="Times New Roman" w:cs="Times New Roman"/>
                <w:b/>
                <w:sz w:val="18"/>
                <w:szCs w:val="18"/>
              </w:rPr>
              <w:t>тоқсаны</w:t>
            </w:r>
            <w:proofErr w:type="spellEnd"/>
          </w:p>
          <w:p w:rsidR="00E12986" w:rsidRPr="00312D27" w:rsidRDefault="00E12986" w:rsidP="00312D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12986" w:rsidRPr="002735A8" w:rsidTr="003254B3">
        <w:trPr>
          <w:trHeight w:val="316"/>
        </w:trPr>
        <w:tc>
          <w:tcPr>
            <w:tcW w:w="3085" w:type="dxa"/>
            <w:vMerge/>
            <w:hideMark/>
          </w:tcPr>
          <w:p w:rsidR="00E12986" w:rsidRPr="00312D27" w:rsidRDefault="00E12986" w:rsidP="00312D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hideMark/>
          </w:tcPr>
          <w:p w:rsidR="00E12986" w:rsidRPr="00312D27" w:rsidRDefault="00E12986" w:rsidP="00312D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12D27">
              <w:rPr>
                <w:rFonts w:ascii="Times New Roman" w:hAnsi="Times New Roman" w:cs="Times New Roman"/>
                <w:b/>
                <w:sz w:val="18"/>
                <w:szCs w:val="18"/>
              </w:rPr>
              <w:t>Барлығы</w:t>
            </w:r>
            <w:proofErr w:type="spellEnd"/>
          </w:p>
          <w:p w:rsidR="00E12986" w:rsidRPr="00312D27" w:rsidRDefault="00E12986" w:rsidP="00312D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noWrap/>
            <w:hideMark/>
          </w:tcPr>
          <w:p w:rsidR="00490AEE" w:rsidRPr="00312D27" w:rsidRDefault="00490AEE" w:rsidP="00312D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12D27">
              <w:rPr>
                <w:rFonts w:ascii="Times New Roman" w:hAnsi="Times New Roman" w:cs="Times New Roman"/>
                <w:b/>
                <w:sz w:val="18"/>
                <w:szCs w:val="18"/>
              </w:rPr>
              <w:t>оның</w:t>
            </w:r>
            <w:proofErr w:type="spellEnd"/>
            <w:r w:rsidRPr="00312D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b/>
                <w:sz w:val="18"/>
                <w:szCs w:val="18"/>
              </w:rPr>
              <w:t>ішінде</w:t>
            </w:r>
            <w:proofErr w:type="spellEnd"/>
          </w:p>
          <w:p w:rsidR="00E12986" w:rsidRPr="00312D27" w:rsidRDefault="00E12986" w:rsidP="00312D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2" w:type="dxa"/>
            <w:vMerge w:val="restart"/>
            <w:hideMark/>
          </w:tcPr>
          <w:p w:rsidR="00E12986" w:rsidRPr="00312D27" w:rsidRDefault="00E12986" w:rsidP="00312D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12D27">
              <w:rPr>
                <w:rFonts w:ascii="Times New Roman" w:hAnsi="Times New Roman" w:cs="Times New Roman"/>
                <w:b/>
                <w:sz w:val="18"/>
                <w:szCs w:val="18"/>
              </w:rPr>
              <w:t>Барлығы</w:t>
            </w:r>
            <w:proofErr w:type="spellEnd"/>
          </w:p>
          <w:p w:rsidR="00E12986" w:rsidRPr="00312D27" w:rsidRDefault="00E12986" w:rsidP="00312D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noWrap/>
            <w:hideMark/>
          </w:tcPr>
          <w:p w:rsidR="00490AEE" w:rsidRPr="00312D27" w:rsidRDefault="00490AEE" w:rsidP="00312D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12D27">
              <w:rPr>
                <w:rFonts w:ascii="Times New Roman" w:hAnsi="Times New Roman" w:cs="Times New Roman"/>
                <w:b/>
                <w:sz w:val="18"/>
                <w:szCs w:val="18"/>
              </w:rPr>
              <w:t>оның</w:t>
            </w:r>
            <w:proofErr w:type="spellEnd"/>
            <w:r w:rsidRPr="00312D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b/>
                <w:sz w:val="18"/>
                <w:szCs w:val="18"/>
              </w:rPr>
              <w:t>ішінде</w:t>
            </w:r>
            <w:proofErr w:type="spellEnd"/>
          </w:p>
          <w:p w:rsidR="00E12986" w:rsidRPr="00312D27" w:rsidRDefault="00E12986" w:rsidP="00312D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90AEE" w:rsidRPr="002735A8" w:rsidTr="003254B3">
        <w:trPr>
          <w:trHeight w:val="497"/>
        </w:trPr>
        <w:tc>
          <w:tcPr>
            <w:tcW w:w="3085" w:type="dxa"/>
            <w:vMerge/>
            <w:hideMark/>
          </w:tcPr>
          <w:p w:rsidR="00490AEE" w:rsidRPr="00312D27" w:rsidRDefault="00490AEE" w:rsidP="00312D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hideMark/>
          </w:tcPr>
          <w:p w:rsidR="00490AEE" w:rsidRPr="00312D27" w:rsidRDefault="00490AEE" w:rsidP="00312D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90AEE" w:rsidRPr="00312D27" w:rsidRDefault="00490AEE" w:rsidP="00312D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b/>
                <w:sz w:val="18"/>
                <w:szCs w:val="18"/>
              </w:rPr>
              <w:t>ТМККК</w:t>
            </w:r>
          </w:p>
        </w:tc>
        <w:tc>
          <w:tcPr>
            <w:tcW w:w="996" w:type="dxa"/>
            <w:hideMark/>
          </w:tcPr>
          <w:p w:rsidR="00490AEE" w:rsidRPr="00312D27" w:rsidRDefault="00490AEE" w:rsidP="00312D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b/>
                <w:sz w:val="18"/>
                <w:szCs w:val="18"/>
              </w:rPr>
              <w:t>МӘМС</w:t>
            </w:r>
          </w:p>
        </w:tc>
        <w:tc>
          <w:tcPr>
            <w:tcW w:w="1272" w:type="dxa"/>
            <w:vMerge/>
            <w:hideMark/>
          </w:tcPr>
          <w:p w:rsidR="00490AEE" w:rsidRPr="00312D27" w:rsidRDefault="00490AEE" w:rsidP="00312D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490AEE" w:rsidRPr="00312D27" w:rsidRDefault="00490AEE" w:rsidP="00312D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b/>
                <w:sz w:val="18"/>
                <w:szCs w:val="18"/>
              </w:rPr>
              <w:t>ТМККК</w:t>
            </w:r>
          </w:p>
        </w:tc>
        <w:tc>
          <w:tcPr>
            <w:tcW w:w="1417" w:type="dxa"/>
            <w:hideMark/>
          </w:tcPr>
          <w:p w:rsidR="00490AEE" w:rsidRPr="00312D27" w:rsidRDefault="00490AEE" w:rsidP="00312D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b/>
                <w:sz w:val="18"/>
                <w:szCs w:val="18"/>
              </w:rPr>
              <w:t>МӘМС</w:t>
            </w:r>
          </w:p>
        </w:tc>
      </w:tr>
      <w:tr w:rsidR="00851B0D" w:rsidRPr="002735A8" w:rsidTr="003254B3">
        <w:trPr>
          <w:trHeight w:val="708"/>
        </w:trPr>
        <w:tc>
          <w:tcPr>
            <w:tcW w:w="3085" w:type="dxa"/>
            <w:hideMark/>
          </w:tcPr>
          <w:p w:rsidR="00490AEE" w:rsidRPr="00312D27" w:rsidRDefault="00DF5797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Жан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басына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шаққандағы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кешенді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норматив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490AEE" w:rsidRPr="00312D27">
              <w:rPr>
                <w:rFonts w:ascii="Times New Roman" w:hAnsi="Times New Roman" w:cs="Times New Roman"/>
                <w:sz w:val="18"/>
                <w:szCs w:val="18"/>
              </w:rPr>
              <w:t>лғашқы</w:t>
            </w:r>
            <w:proofErr w:type="spellEnd"/>
            <w:r w:rsidR="00490AEE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90AEE" w:rsidRPr="00312D27">
              <w:rPr>
                <w:rFonts w:ascii="Times New Roman" w:hAnsi="Times New Roman" w:cs="Times New Roman"/>
                <w:sz w:val="18"/>
                <w:szCs w:val="18"/>
              </w:rPr>
              <w:t>медициналы</w:t>
            </w:r>
            <w:proofErr w:type="gramStart"/>
            <w:r w:rsidR="00490AEE" w:rsidRPr="00312D27">
              <w:rPr>
                <w:rFonts w:ascii="Times New Roman" w:hAnsi="Times New Roman" w:cs="Times New Roman"/>
                <w:sz w:val="18"/>
                <w:szCs w:val="18"/>
              </w:rPr>
              <w:t>қ-</w:t>
            </w:r>
            <w:proofErr w:type="gramEnd"/>
            <w:r w:rsidR="00490AEE" w:rsidRPr="00312D27">
              <w:rPr>
                <w:rFonts w:ascii="Times New Roman" w:hAnsi="Times New Roman" w:cs="Times New Roman"/>
                <w:sz w:val="18"/>
                <w:szCs w:val="18"/>
              </w:rPr>
              <w:t>санитарлық</w:t>
            </w:r>
            <w:proofErr w:type="spellEnd"/>
            <w:r w:rsidR="00490AEE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90AEE" w:rsidRPr="00312D27">
              <w:rPr>
                <w:rFonts w:ascii="Times New Roman" w:hAnsi="Times New Roman" w:cs="Times New Roman"/>
                <w:sz w:val="18"/>
                <w:szCs w:val="18"/>
              </w:rPr>
              <w:t>көмек</w:t>
            </w:r>
            <w:proofErr w:type="spellEnd"/>
          </w:p>
          <w:p w:rsidR="00E12986" w:rsidRPr="00312D27" w:rsidRDefault="00E12986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  617127,31   </w:t>
            </w:r>
          </w:p>
        </w:tc>
        <w:tc>
          <w:tcPr>
            <w:tcW w:w="1275" w:type="dxa"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12986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617 127,31   </w:t>
            </w:r>
          </w:p>
        </w:tc>
        <w:tc>
          <w:tcPr>
            <w:tcW w:w="996" w:type="dxa"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2" w:type="dxa"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2986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154 281,83   </w:t>
            </w:r>
          </w:p>
        </w:tc>
        <w:tc>
          <w:tcPr>
            <w:tcW w:w="993" w:type="dxa"/>
            <w:hideMark/>
          </w:tcPr>
          <w:p w:rsidR="00E12986" w:rsidRPr="00312D27" w:rsidRDefault="00312D27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  <w:r w:rsidR="00E12986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281,83   </w:t>
            </w:r>
          </w:p>
        </w:tc>
        <w:tc>
          <w:tcPr>
            <w:tcW w:w="1417" w:type="dxa"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51B0D" w:rsidRPr="002735A8" w:rsidTr="003254B3">
        <w:trPr>
          <w:trHeight w:val="949"/>
        </w:trPr>
        <w:tc>
          <w:tcPr>
            <w:tcW w:w="3085" w:type="dxa"/>
            <w:hideMark/>
          </w:tcPr>
          <w:p w:rsidR="00490AEE" w:rsidRPr="00312D27" w:rsidRDefault="00490AEE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4-разрядты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жедел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шақыруларға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қызмет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көрсету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үшін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бекітілген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E43B9" w:rsidRPr="00312D27">
              <w:rPr>
                <w:rFonts w:ascii="Times New Roman" w:hAnsi="Times New Roman" w:cs="Times New Roman"/>
                <w:sz w:val="18"/>
                <w:szCs w:val="18"/>
              </w:rPr>
              <w:t>тұ</w:t>
            </w:r>
            <w:proofErr w:type="gramStart"/>
            <w:r w:rsidR="00960229" w:rsidRPr="00312D2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960229" w:rsidRPr="00312D27">
              <w:rPr>
                <w:rFonts w:ascii="Times New Roman" w:hAnsi="Times New Roman" w:cs="Times New Roman"/>
                <w:sz w:val="18"/>
                <w:szCs w:val="18"/>
              </w:rPr>
              <w:t>ғындарға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шұғыл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медициналық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көмек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көрсету</w:t>
            </w:r>
            <w:proofErr w:type="spellEnd"/>
          </w:p>
          <w:p w:rsidR="00E12986" w:rsidRPr="00312D27" w:rsidRDefault="00E12986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     17 </w:t>
            </w:r>
            <w:r w:rsidR="00E12986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183,60   </w:t>
            </w:r>
          </w:p>
        </w:tc>
        <w:tc>
          <w:tcPr>
            <w:tcW w:w="1275" w:type="dxa"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     17 183,60   </w:t>
            </w:r>
          </w:p>
        </w:tc>
        <w:tc>
          <w:tcPr>
            <w:tcW w:w="996" w:type="dxa"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2" w:type="dxa"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E12986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4 295,90   </w:t>
            </w:r>
          </w:p>
        </w:tc>
        <w:tc>
          <w:tcPr>
            <w:tcW w:w="993" w:type="dxa"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E12986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4 295,90   </w:t>
            </w:r>
          </w:p>
        </w:tc>
        <w:tc>
          <w:tcPr>
            <w:tcW w:w="1417" w:type="dxa"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51B0D" w:rsidRPr="002735A8" w:rsidTr="003254B3">
        <w:trPr>
          <w:trHeight w:val="1898"/>
        </w:trPr>
        <w:tc>
          <w:tcPr>
            <w:tcW w:w="3085" w:type="dxa"/>
            <w:hideMark/>
          </w:tcPr>
          <w:p w:rsidR="00E12986" w:rsidRPr="00312D27" w:rsidRDefault="00490AEE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Алғашқы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медициналы</w:t>
            </w:r>
            <w:proofErr w:type="gram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қ-</w:t>
            </w:r>
            <w:proofErr w:type="gram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санитариялық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көмек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көрсететін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денсаулық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сақтау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ұйымдары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жанындағы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жедел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медициналық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көмек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бөлімшелерінің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мобильді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бригадалардың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жүргізушілеріне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базалық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лауазымдық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жалақының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200 %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мөлшерінде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ерекше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еңбек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жағдайлары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үшін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қосымша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ақылар</w:t>
            </w:r>
            <w:proofErr w:type="spellEnd"/>
          </w:p>
        </w:tc>
        <w:tc>
          <w:tcPr>
            <w:tcW w:w="1418" w:type="dxa"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       1 421,35   </w:t>
            </w:r>
          </w:p>
        </w:tc>
        <w:tc>
          <w:tcPr>
            <w:tcW w:w="1275" w:type="dxa"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       1 421,35   </w:t>
            </w:r>
          </w:p>
        </w:tc>
        <w:tc>
          <w:tcPr>
            <w:tcW w:w="996" w:type="dxa"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2" w:type="dxa"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E12986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355,34   </w:t>
            </w:r>
          </w:p>
        </w:tc>
        <w:tc>
          <w:tcPr>
            <w:tcW w:w="993" w:type="dxa"/>
            <w:hideMark/>
          </w:tcPr>
          <w:p w:rsidR="00E12986" w:rsidRPr="00312D27" w:rsidRDefault="00312D27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E12986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355,34   </w:t>
            </w:r>
          </w:p>
        </w:tc>
        <w:tc>
          <w:tcPr>
            <w:tcW w:w="1417" w:type="dxa"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51B0D" w:rsidRPr="002735A8" w:rsidTr="003254B3">
        <w:trPr>
          <w:trHeight w:val="633"/>
        </w:trPr>
        <w:tc>
          <w:tcPr>
            <w:tcW w:w="3085" w:type="dxa"/>
            <w:hideMark/>
          </w:tcPr>
          <w:p w:rsidR="00E12986" w:rsidRPr="00312D27" w:rsidRDefault="00490AEE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ТМККК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шеңберінде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стационарды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алмастыратын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медициналық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көмек</w:t>
            </w:r>
            <w:proofErr w:type="spellEnd"/>
          </w:p>
        </w:tc>
        <w:tc>
          <w:tcPr>
            <w:tcW w:w="1418" w:type="dxa"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     20 841,14   </w:t>
            </w:r>
          </w:p>
        </w:tc>
        <w:tc>
          <w:tcPr>
            <w:tcW w:w="1275" w:type="dxa"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       9 503,02   </w:t>
            </w:r>
          </w:p>
        </w:tc>
        <w:tc>
          <w:tcPr>
            <w:tcW w:w="996" w:type="dxa"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2986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11 338,12   </w:t>
            </w:r>
          </w:p>
        </w:tc>
        <w:tc>
          <w:tcPr>
            <w:tcW w:w="1272" w:type="dxa"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E12986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5 210,29   </w:t>
            </w:r>
          </w:p>
        </w:tc>
        <w:tc>
          <w:tcPr>
            <w:tcW w:w="993" w:type="dxa"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12986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2 375,76   </w:t>
            </w:r>
          </w:p>
        </w:tc>
        <w:tc>
          <w:tcPr>
            <w:tcW w:w="1417" w:type="dxa"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E12986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2 834,53   </w:t>
            </w:r>
          </w:p>
        </w:tc>
      </w:tr>
      <w:tr w:rsidR="00851B0D" w:rsidRPr="002735A8" w:rsidTr="003254B3">
        <w:trPr>
          <w:trHeight w:val="557"/>
        </w:trPr>
        <w:tc>
          <w:tcPr>
            <w:tcW w:w="3085" w:type="dxa"/>
            <w:hideMark/>
          </w:tcPr>
          <w:p w:rsidR="00490AEE" w:rsidRPr="00312D27" w:rsidRDefault="00490AEE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Консультациялы</w:t>
            </w:r>
            <w:proofErr w:type="gram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қ-</w:t>
            </w:r>
            <w:proofErr w:type="gram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диагностикалық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қызметтер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(1 </w:t>
            </w:r>
            <w:proofErr w:type="spellStart"/>
            <w:r w:rsidR="003E43B9" w:rsidRPr="00312D27">
              <w:rPr>
                <w:rFonts w:ascii="Times New Roman" w:hAnsi="Times New Roman" w:cs="Times New Roman"/>
                <w:sz w:val="18"/>
                <w:szCs w:val="18"/>
              </w:rPr>
              <w:t>бекітілген</w:t>
            </w:r>
            <w:proofErr w:type="spellEnd"/>
            <w:r w:rsidR="003E43B9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E43B9" w:rsidRPr="00312D27">
              <w:rPr>
                <w:rFonts w:ascii="Times New Roman" w:hAnsi="Times New Roman" w:cs="Times New Roman"/>
                <w:sz w:val="18"/>
                <w:szCs w:val="18"/>
              </w:rPr>
              <w:t>тұрғынға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арналған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43B9" w:rsidRPr="00312D27">
              <w:rPr>
                <w:rFonts w:ascii="Times New Roman" w:hAnsi="Times New Roman" w:cs="Times New Roman"/>
                <w:sz w:val="18"/>
                <w:szCs w:val="18"/>
              </w:rPr>
              <w:t>КДҚ</w:t>
            </w: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12986" w:rsidRPr="00312D27" w:rsidRDefault="00E12986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   274 724,69   </w:t>
            </w:r>
          </w:p>
        </w:tc>
        <w:tc>
          <w:tcPr>
            <w:tcW w:w="1275" w:type="dxa"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     14 143,44   </w:t>
            </w:r>
          </w:p>
        </w:tc>
        <w:tc>
          <w:tcPr>
            <w:tcW w:w="996" w:type="dxa"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  <w:r w:rsidR="00E12986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581,25   </w:t>
            </w:r>
          </w:p>
        </w:tc>
        <w:tc>
          <w:tcPr>
            <w:tcW w:w="1272" w:type="dxa"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12986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68 681,17   </w:t>
            </w:r>
          </w:p>
        </w:tc>
        <w:tc>
          <w:tcPr>
            <w:tcW w:w="993" w:type="dxa"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E12986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3 535,86   </w:t>
            </w:r>
          </w:p>
        </w:tc>
        <w:tc>
          <w:tcPr>
            <w:tcW w:w="1417" w:type="dxa"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12986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65 145,31   </w:t>
            </w:r>
          </w:p>
        </w:tc>
      </w:tr>
      <w:tr w:rsidR="00851B0D" w:rsidRPr="002735A8" w:rsidTr="003254B3">
        <w:trPr>
          <w:trHeight w:val="633"/>
        </w:trPr>
        <w:tc>
          <w:tcPr>
            <w:tcW w:w="3085" w:type="dxa"/>
            <w:hideMark/>
          </w:tcPr>
          <w:p w:rsidR="00E12986" w:rsidRPr="00312D27" w:rsidRDefault="00B25B85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Тұ</w:t>
            </w:r>
            <w:proofErr w:type="gram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ғындардың</w:t>
            </w:r>
            <w:proofErr w:type="spellEnd"/>
            <w:r w:rsidR="00490AEE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90AEE" w:rsidRPr="00312D27">
              <w:rPr>
                <w:rFonts w:ascii="Times New Roman" w:hAnsi="Times New Roman" w:cs="Times New Roman"/>
                <w:sz w:val="18"/>
                <w:szCs w:val="18"/>
              </w:rPr>
              <w:t>нысаналы</w:t>
            </w:r>
            <w:proofErr w:type="spellEnd"/>
            <w:r w:rsidR="00490AEE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90AEE" w:rsidRPr="00312D27">
              <w:rPr>
                <w:rFonts w:ascii="Times New Roman" w:hAnsi="Times New Roman" w:cs="Times New Roman"/>
                <w:sz w:val="18"/>
                <w:szCs w:val="18"/>
              </w:rPr>
              <w:t>топтарына</w:t>
            </w:r>
            <w:proofErr w:type="spellEnd"/>
            <w:r w:rsidR="00490AEE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90AEE" w:rsidRPr="00312D27">
              <w:rPr>
                <w:rFonts w:ascii="Times New Roman" w:hAnsi="Times New Roman" w:cs="Times New Roman"/>
                <w:sz w:val="18"/>
                <w:szCs w:val="18"/>
              </w:rPr>
              <w:t>профилактикалық</w:t>
            </w:r>
            <w:proofErr w:type="spellEnd"/>
            <w:r w:rsidR="00490AEE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90AEE" w:rsidRPr="00312D27">
              <w:rPr>
                <w:rFonts w:ascii="Times New Roman" w:hAnsi="Times New Roman" w:cs="Times New Roman"/>
                <w:sz w:val="18"/>
                <w:szCs w:val="18"/>
              </w:rPr>
              <w:t>медициналық</w:t>
            </w:r>
            <w:proofErr w:type="spellEnd"/>
            <w:r w:rsidR="00490AEE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90AEE" w:rsidRPr="00312D27">
              <w:rPr>
                <w:rFonts w:ascii="Times New Roman" w:hAnsi="Times New Roman" w:cs="Times New Roman"/>
                <w:sz w:val="18"/>
                <w:szCs w:val="18"/>
              </w:rPr>
              <w:t>қарап-тексерулерді</w:t>
            </w:r>
            <w:proofErr w:type="spellEnd"/>
            <w:r w:rsidR="00490AEE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90AEE" w:rsidRPr="00312D27">
              <w:rPr>
                <w:rFonts w:ascii="Times New Roman" w:hAnsi="Times New Roman" w:cs="Times New Roman"/>
                <w:sz w:val="18"/>
                <w:szCs w:val="18"/>
              </w:rPr>
              <w:t>жүргізу</w:t>
            </w:r>
            <w:proofErr w:type="spellEnd"/>
          </w:p>
        </w:tc>
        <w:tc>
          <w:tcPr>
            <w:tcW w:w="1418" w:type="dxa"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     61 397,45   </w:t>
            </w:r>
          </w:p>
        </w:tc>
        <w:tc>
          <w:tcPr>
            <w:tcW w:w="1275" w:type="dxa"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2986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61 397,45   </w:t>
            </w:r>
          </w:p>
        </w:tc>
        <w:tc>
          <w:tcPr>
            <w:tcW w:w="1272" w:type="dxa"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E12986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15 349,36   </w:t>
            </w:r>
          </w:p>
        </w:tc>
        <w:tc>
          <w:tcPr>
            <w:tcW w:w="993" w:type="dxa"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E12986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15 349,36   </w:t>
            </w:r>
          </w:p>
        </w:tc>
      </w:tr>
      <w:tr w:rsidR="00851B0D" w:rsidRPr="002735A8" w:rsidTr="003254B3">
        <w:trPr>
          <w:trHeight w:val="633"/>
        </w:trPr>
        <w:tc>
          <w:tcPr>
            <w:tcW w:w="3085" w:type="dxa"/>
            <w:hideMark/>
          </w:tcPr>
          <w:p w:rsidR="00E12986" w:rsidRPr="00312D27" w:rsidRDefault="00C362A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Балалар</w:t>
            </w:r>
            <w:proofErr w:type="gram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ға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арналған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90AEE" w:rsidRPr="00312D27">
              <w:rPr>
                <w:rFonts w:ascii="Times New Roman" w:hAnsi="Times New Roman" w:cs="Times New Roman"/>
                <w:sz w:val="18"/>
                <w:szCs w:val="18"/>
              </w:rPr>
              <w:t>профилактикалық</w:t>
            </w:r>
            <w:proofErr w:type="spellEnd"/>
            <w:r w:rsidR="00490AEE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медициналық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тексерулер</w:t>
            </w:r>
            <w:proofErr w:type="spellEnd"/>
          </w:p>
        </w:tc>
        <w:tc>
          <w:tcPr>
            <w:tcW w:w="1418" w:type="dxa"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       2 005,13   </w:t>
            </w:r>
          </w:p>
        </w:tc>
        <w:tc>
          <w:tcPr>
            <w:tcW w:w="1275" w:type="dxa"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2986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2 005,13   </w:t>
            </w:r>
          </w:p>
        </w:tc>
        <w:tc>
          <w:tcPr>
            <w:tcW w:w="1272" w:type="dxa"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 w:rsidR="00E12986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200,51   </w:t>
            </w:r>
          </w:p>
        </w:tc>
        <w:tc>
          <w:tcPr>
            <w:tcW w:w="993" w:type="dxa"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E12986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200,51   </w:t>
            </w:r>
          </w:p>
        </w:tc>
      </w:tr>
      <w:tr w:rsidR="00851B0D" w:rsidRPr="002735A8" w:rsidTr="003254B3">
        <w:trPr>
          <w:trHeight w:val="316"/>
        </w:trPr>
        <w:tc>
          <w:tcPr>
            <w:tcW w:w="3085" w:type="dxa"/>
            <w:hideMark/>
          </w:tcPr>
          <w:p w:rsidR="00E12986" w:rsidRPr="00312D27" w:rsidRDefault="00490AEE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Антенаталдық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ба</w:t>
            </w:r>
            <w:proofErr w:type="gram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қылау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қызметтері</w:t>
            </w:r>
            <w:proofErr w:type="spellEnd"/>
          </w:p>
        </w:tc>
        <w:tc>
          <w:tcPr>
            <w:tcW w:w="1418" w:type="dxa"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       8 095,22   </w:t>
            </w:r>
          </w:p>
        </w:tc>
        <w:tc>
          <w:tcPr>
            <w:tcW w:w="1275" w:type="dxa"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E12986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8 095,22   </w:t>
            </w:r>
          </w:p>
        </w:tc>
        <w:tc>
          <w:tcPr>
            <w:tcW w:w="1272" w:type="dxa"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E12986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2 023,81   </w:t>
            </w:r>
          </w:p>
        </w:tc>
        <w:tc>
          <w:tcPr>
            <w:tcW w:w="993" w:type="dxa"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E12986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2 023,81   </w:t>
            </w:r>
          </w:p>
        </w:tc>
      </w:tr>
      <w:tr w:rsidR="00851B0D" w:rsidRPr="002735A8" w:rsidTr="003254B3">
        <w:trPr>
          <w:trHeight w:val="648"/>
        </w:trPr>
        <w:tc>
          <w:tcPr>
            <w:tcW w:w="3085" w:type="dxa"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Қ</w:t>
            </w:r>
            <w:proofErr w:type="gram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C362AD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362AD" w:rsidRPr="00312D27">
              <w:rPr>
                <w:rFonts w:ascii="Times New Roman" w:hAnsi="Times New Roman" w:cs="Times New Roman"/>
                <w:sz w:val="18"/>
                <w:szCs w:val="18"/>
              </w:rPr>
              <w:t>азаматта</w:t>
            </w: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ры</w:t>
            </w:r>
            <w:r w:rsidR="00C362AD" w:rsidRPr="00312D27">
              <w:rPr>
                <w:rFonts w:ascii="Times New Roman" w:hAnsi="Times New Roman" w:cs="Times New Roman"/>
                <w:sz w:val="18"/>
                <w:szCs w:val="18"/>
              </w:rPr>
              <w:t>ның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жекелеген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санаттарына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шұғыл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жоспарлы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стоматологиялық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көмек</w:t>
            </w:r>
            <w:proofErr w:type="spellEnd"/>
          </w:p>
        </w:tc>
        <w:tc>
          <w:tcPr>
            <w:tcW w:w="1418" w:type="dxa"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     16 896,99   </w:t>
            </w:r>
          </w:p>
        </w:tc>
        <w:tc>
          <w:tcPr>
            <w:tcW w:w="1275" w:type="dxa"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2986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16 896,99   </w:t>
            </w:r>
          </w:p>
        </w:tc>
        <w:tc>
          <w:tcPr>
            <w:tcW w:w="1272" w:type="dxa"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E12986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4 224,25   </w:t>
            </w:r>
          </w:p>
        </w:tc>
        <w:tc>
          <w:tcPr>
            <w:tcW w:w="993" w:type="dxa"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E12986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4 224,25   </w:t>
            </w:r>
          </w:p>
        </w:tc>
      </w:tr>
      <w:tr w:rsidR="00851B0D" w:rsidRPr="002735A8" w:rsidTr="003254B3">
        <w:trPr>
          <w:trHeight w:val="316"/>
        </w:trPr>
        <w:tc>
          <w:tcPr>
            <w:tcW w:w="3085" w:type="dxa"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Жастар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денсаулық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орталықтары</w:t>
            </w:r>
            <w:proofErr w:type="spellEnd"/>
          </w:p>
        </w:tc>
        <w:tc>
          <w:tcPr>
            <w:tcW w:w="1418" w:type="dxa"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     10 759,98   </w:t>
            </w:r>
          </w:p>
        </w:tc>
        <w:tc>
          <w:tcPr>
            <w:tcW w:w="1275" w:type="dxa"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2986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10 759,98   </w:t>
            </w:r>
          </w:p>
        </w:tc>
        <w:tc>
          <w:tcPr>
            <w:tcW w:w="1272" w:type="dxa"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E12986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2 009,04   </w:t>
            </w:r>
          </w:p>
        </w:tc>
        <w:tc>
          <w:tcPr>
            <w:tcW w:w="993" w:type="dxa"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E12986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2 009,04   </w:t>
            </w:r>
          </w:p>
        </w:tc>
      </w:tr>
      <w:tr w:rsidR="00851B0D" w:rsidRPr="002735A8" w:rsidTr="003254B3">
        <w:trPr>
          <w:trHeight w:val="633"/>
        </w:trPr>
        <w:tc>
          <w:tcPr>
            <w:tcW w:w="3085" w:type="dxa"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Амбулаториялық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жағдайдағы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медициналық</w:t>
            </w:r>
            <w:proofErr w:type="spellEnd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оңалтуы</w:t>
            </w:r>
            <w:proofErr w:type="spellEnd"/>
          </w:p>
        </w:tc>
        <w:tc>
          <w:tcPr>
            <w:tcW w:w="1418" w:type="dxa"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     21 381,69   </w:t>
            </w:r>
          </w:p>
        </w:tc>
        <w:tc>
          <w:tcPr>
            <w:tcW w:w="1275" w:type="dxa"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6" w:type="dxa"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2986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21 381,69   </w:t>
            </w:r>
          </w:p>
        </w:tc>
        <w:tc>
          <w:tcPr>
            <w:tcW w:w="1272" w:type="dxa"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E12986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5 345,42   </w:t>
            </w:r>
          </w:p>
        </w:tc>
        <w:tc>
          <w:tcPr>
            <w:tcW w:w="993" w:type="dxa"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E12986" w:rsidRPr="00312D27">
              <w:rPr>
                <w:rFonts w:ascii="Times New Roman" w:hAnsi="Times New Roman" w:cs="Times New Roman"/>
                <w:sz w:val="18"/>
                <w:szCs w:val="18"/>
              </w:rPr>
              <w:t xml:space="preserve"> 5 345,42   </w:t>
            </w:r>
          </w:p>
        </w:tc>
      </w:tr>
      <w:tr w:rsidR="00851B0D" w:rsidRPr="002735A8" w:rsidTr="003254B3">
        <w:trPr>
          <w:trHeight w:val="316"/>
        </w:trPr>
        <w:tc>
          <w:tcPr>
            <w:tcW w:w="3085" w:type="dxa"/>
            <w:hideMark/>
          </w:tcPr>
          <w:p w:rsidR="00851B0D" w:rsidRPr="00312D27" w:rsidRDefault="00851B0D" w:rsidP="00312D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12D27">
              <w:rPr>
                <w:rFonts w:ascii="Times New Roman" w:hAnsi="Times New Roman" w:cs="Times New Roman"/>
                <w:b/>
                <w:sz w:val="18"/>
                <w:szCs w:val="18"/>
              </w:rPr>
              <w:t>Барлығы</w:t>
            </w:r>
            <w:proofErr w:type="spellEnd"/>
            <w:r w:rsidRPr="00312D27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E12986" w:rsidRPr="00312D27" w:rsidRDefault="00E12986" w:rsidP="00312D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1 051 834,55   </w:t>
            </w:r>
          </w:p>
        </w:tc>
        <w:tc>
          <w:tcPr>
            <w:tcW w:w="1275" w:type="dxa"/>
            <w:noWrap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659 378,72   </w:t>
            </w:r>
          </w:p>
        </w:tc>
        <w:tc>
          <w:tcPr>
            <w:tcW w:w="996" w:type="dxa"/>
            <w:noWrap/>
            <w:hideMark/>
          </w:tcPr>
          <w:p w:rsidR="00E12986" w:rsidRPr="00312D27" w:rsidRDefault="00851B0D" w:rsidP="00312D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b/>
                <w:sz w:val="18"/>
                <w:szCs w:val="18"/>
              </w:rPr>
              <w:t>392</w:t>
            </w:r>
            <w:r w:rsidR="00E12986" w:rsidRPr="00312D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455,83   </w:t>
            </w:r>
          </w:p>
        </w:tc>
        <w:tc>
          <w:tcPr>
            <w:tcW w:w="1272" w:type="dxa"/>
            <w:noWrap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261 976,91   </w:t>
            </w:r>
          </w:p>
        </w:tc>
        <w:tc>
          <w:tcPr>
            <w:tcW w:w="993" w:type="dxa"/>
            <w:noWrap/>
            <w:hideMark/>
          </w:tcPr>
          <w:p w:rsidR="00E12986" w:rsidRPr="00312D27" w:rsidRDefault="00312D27" w:rsidP="00312D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b/>
                <w:sz w:val="18"/>
                <w:szCs w:val="18"/>
              </w:rPr>
              <w:t>164</w:t>
            </w:r>
            <w:r w:rsidR="00E12986" w:rsidRPr="00312D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844,68   </w:t>
            </w:r>
          </w:p>
        </w:tc>
        <w:tc>
          <w:tcPr>
            <w:tcW w:w="1417" w:type="dxa"/>
            <w:noWrap/>
            <w:hideMark/>
          </w:tcPr>
          <w:p w:rsidR="00E12986" w:rsidRPr="00312D27" w:rsidRDefault="00E12986" w:rsidP="00312D2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12D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97 132,23   </w:t>
            </w:r>
          </w:p>
        </w:tc>
      </w:tr>
    </w:tbl>
    <w:p w:rsidR="00851B0D" w:rsidRPr="00312D27" w:rsidRDefault="00851B0D" w:rsidP="00B04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12D27">
        <w:rPr>
          <w:rFonts w:ascii="Times New Roman" w:hAnsi="Times New Roman" w:cs="Times New Roman"/>
          <w:sz w:val="20"/>
          <w:szCs w:val="20"/>
          <w:lang w:val="kk-KZ"/>
        </w:rPr>
        <w:t>Ақылы медициналық қызмет көрсету есебінен 2024 жылы күтілетін кіріс болжамы 35,0 млн.теңге, бірінші тоқсанда 5,3 млн.теңге түсті;</w:t>
      </w:r>
    </w:p>
    <w:p w:rsidR="00851B0D" w:rsidRPr="00312D27" w:rsidRDefault="00851B0D" w:rsidP="00B04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12D27">
        <w:rPr>
          <w:rFonts w:ascii="Times New Roman" w:hAnsi="Times New Roman" w:cs="Times New Roman"/>
          <w:sz w:val="20"/>
          <w:szCs w:val="20"/>
          <w:lang w:val="kk-KZ"/>
        </w:rPr>
        <w:t>Әскери міндеттілер мен мерзімді әскери қызметшілерді әскери қызметке шақыру кезінде</w:t>
      </w:r>
      <w:r w:rsidR="00447EFF" w:rsidRPr="00312D27">
        <w:rPr>
          <w:rFonts w:ascii="Times New Roman" w:hAnsi="Times New Roman" w:cs="Times New Roman"/>
          <w:sz w:val="20"/>
          <w:szCs w:val="20"/>
          <w:lang w:val="kk-KZ"/>
        </w:rPr>
        <w:t>,</w:t>
      </w:r>
      <w:r w:rsidRPr="00312D27">
        <w:rPr>
          <w:rFonts w:ascii="Times New Roman" w:hAnsi="Times New Roman" w:cs="Times New Roman"/>
          <w:sz w:val="20"/>
          <w:szCs w:val="20"/>
          <w:lang w:val="kk-KZ"/>
        </w:rPr>
        <w:t xml:space="preserve"> азаматтарды тексеруден өткізу </w:t>
      </w:r>
      <w:r w:rsidR="00296C26" w:rsidRPr="00312D27">
        <w:rPr>
          <w:rFonts w:ascii="Times New Roman" w:hAnsi="Times New Roman" w:cs="Times New Roman"/>
          <w:sz w:val="20"/>
          <w:szCs w:val="20"/>
          <w:lang w:val="kk-KZ"/>
        </w:rPr>
        <w:t>бойынша</w:t>
      </w:r>
      <w:r w:rsidRPr="00312D27">
        <w:rPr>
          <w:rFonts w:ascii="Times New Roman" w:hAnsi="Times New Roman" w:cs="Times New Roman"/>
          <w:sz w:val="20"/>
          <w:szCs w:val="20"/>
          <w:lang w:val="kk-KZ"/>
        </w:rPr>
        <w:t xml:space="preserve"> Астана қаласында медициналық қызмет көрсету үшін медициналық комиссияларды құру «Астана қаласының</w:t>
      </w:r>
      <w:r w:rsidR="005D5B11" w:rsidRPr="00312D27">
        <w:rPr>
          <w:rFonts w:ascii="Times New Roman" w:hAnsi="Times New Roman" w:cs="Times New Roman"/>
          <w:sz w:val="20"/>
          <w:szCs w:val="20"/>
          <w:lang w:val="kk-KZ"/>
        </w:rPr>
        <w:t xml:space="preserve"> қ</w:t>
      </w:r>
      <w:r w:rsidRPr="00312D27">
        <w:rPr>
          <w:rFonts w:ascii="Times New Roman" w:hAnsi="Times New Roman" w:cs="Times New Roman"/>
          <w:sz w:val="20"/>
          <w:szCs w:val="20"/>
          <w:lang w:val="kk-KZ"/>
        </w:rPr>
        <w:t>оғамдық денсаулық сақтау» мемлекеттік мекемесінің</w:t>
      </w:r>
      <w:r w:rsidR="008B6D82" w:rsidRPr="00312D27">
        <w:rPr>
          <w:rFonts w:ascii="Times New Roman" w:hAnsi="Times New Roman" w:cs="Times New Roman"/>
          <w:sz w:val="20"/>
          <w:szCs w:val="20"/>
          <w:lang w:val="kk-KZ"/>
        </w:rPr>
        <w:t xml:space="preserve"> конкурстық рәсімдері негізінде,</w:t>
      </w:r>
      <w:r w:rsidR="004379B1" w:rsidRPr="00312D2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5D5B11" w:rsidRPr="00312D27">
        <w:rPr>
          <w:rFonts w:ascii="Times New Roman" w:hAnsi="Times New Roman" w:cs="Times New Roman"/>
          <w:sz w:val="20"/>
          <w:szCs w:val="20"/>
          <w:lang w:val="kk-KZ"/>
        </w:rPr>
        <w:t>мемлекеттік сатып алу веб-сайты арқы</w:t>
      </w:r>
      <w:bookmarkStart w:id="0" w:name="_GoBack"/>
      <w:bookmarkEnd w:id="0"/>
      <w:r w:rsidR="005D5B11" w:rsidRPr="00312D27">
        <w:rPr>
          <w:rFonts w:ascii="Times New Roman" w:hAnsi="Times New Roman" w:cs="Times New Roman"/>
          <w:sz w:val="20"/>
          <w:szCs w:val="20"/>
          <w:lang w:val="kk-KZ"/>
        </w:rPr>
        <w:t xml:space="preserve">лы жергілікті бюджеттен бөлінген қаражат есебінен </w:t>
      </w:r>
      <w:r w:rsidRPr="00312D27">
        <w:rPr>
          <w:rFonts w:ascii="Times New Roman" w:hAnsi="Times New Roman" w:cs="Times New Roman"/>
          <w:sz w:val="20"/>
          <w:szCs w:val="20"/>
          <w:lang w:val="kk-KZ"/>
        </w:rPr>
        <w:t>жүзеге асырылады.</w:t>
      </w:r>
    </w:p>
    <w:p w:rsidR="003F0A2D" w:rsidRPr="00312D27" w:rsidRDefault="003F0A2D" w:rsidP="00B04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12D27">
        <w:rPr>
          <w:rFonts w:ascii="Times New Roman" w:hAnsi="Times New Roman" w:cs="Times New Roman"/>
          <w:sz w:val="20"/>
          <w:szCs w:val="20"/>
          <w:lang w:val="kk-KZ"/>
        </w:rPr>
        <w:t xml:space="preserve">Байқау қорытындысы бойынша 2024 жылы </w:t>
      </w:r>
      <w:r w:rsidR="00FB1BD8" w:rsidRPr="00312D27">
        <w:rPr>
          <w:rFonts w:ascii="Times New Roman" w:hAnsi="Times New Roman" w:cs="Times New Roman"/>
          <w:sz w:val="20"/>
          <w:szCs w:val="20"/>
          <w:lang w:val="kk-KZ"/>
        </w:rPr>
        <w:t>Астана қала</w:t>
      </w:r>
      <w:r w:rsidR="004047F1" w:rsidRPr="00312D27">
        <w:rPr>
          <w:rFonts w:ascii="Times New Roman" w:hAnsi="Times New Roman" w:cs="Times New Roman"/>
          <w:sz w:val="20"/>
          <w:szCs w:val="20"/>
          <w:lang w:val="kk-KZ"/>
        </w:rPr>
        <w:t xml:space="preserve">сы әкімдігінің «№3 қалалық емхана» </w:t>
      </w:r>
      <w:r w:rsidR="00FB1BD8" w:rsidRPr="00312D27">
        <w:rPr>
          <w:rFonts w:ascii="Times New Roman" w:hAnsi="Times New Roman" w:cs="Times New Roman"/>
          <w:sz w:val="20"/>
          <w:szCs w:val="20"/>
          <w:lang w:val="kk-KZ"/>
        </w:rPr>
        <w:t>ШЖҚ МКК</w:t>
      </w:r>
      <w:r w:rsidR="004047F1" w:rsidRPr="00312D27">
        <w:rPr>
          <w:rFonts w:ascii="Times New Roman" w:hAnsi="Times New Roman" w:cs="Times New Roman"/>
          <w:sz w:val="20"/>
          <w:szCs w:val="20"/>
          <w:lang w:val="kk-KZ"/>
        </w:rPr>
        <w:t xml:space="preserve">-на </w:t>
      </w:r>
      <w:r w:rsidRPr="00312D27">
        <w:rPr>
          <w:rFonts w:ascii="Times New Roman" w:hAnsi="Times New Roman" w:cs="Times New Roman"/>
          <w:sz w:val="20"/>
          <w:szCs w:val="20"/>
          <w:lang w:val="kk-KZ"/>
        </w:rPr>
        <w:t>тапсырыс берілді. Әскери қызметке шақыру кезінде азаматтарды медициналық тексеруден өткізу қызметтерін көрсетуге ақпан, наурыз айларында 410,7 млн.теңге (218</w:t>
      </w:r>
      <w:r w:rsidR="00FB1BD8" w:rsidRPr="00312D2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12D27">
        <w:rPr>
          <w:rFonts w:ascii="Times New Roman" w:hAnsi="Times New Roman" w:cs="Times New Roman"/>
          <w:sz w:val="20"/>
          <w:szCs w:val="20"/>
          <w:lang w:val="kk-KZ"/>
        </w:rPr>
        <w:t>305 қызмет) бөлініп, жалпы сомасы 61,1 млн.теңгеге 27</w:t>
      </w:r>
      <w:r w:rsidR="00FB1BD8" w:rsidRPr="00312D2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12D27">
        <w:rPr>
          <w:rFonts w:ascii="Times New Roman" w:hAnsi="Times New Roman" w:cs="Times New Roman"/>
          <w:sz w:val="20"/>
          <w:szCs w:val="20"/>
          <w:lang w:val="kk-KZ"/>
        </w:rPr>
        <w:t>304 қызмет атқарылды.</w:t>
      </w:r>
    </w:p>
    <w:p w:rsidR="003F0A2D" w:rsidRPr="00312D27" w:rsidRDefault="003F0A2D" w:rsidP="00B04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12D27">
        <w:rPr>
          <w:rFonts w:ascii="Times New Roman" w:hAnsi="Times New Roman" w:cs="Times New Roman"/>
          <w:sz w:val="20"/>
          <w:szCs w:val="20"/>
          <w:lang w:val="kk-KZ"/>
        </w:rPr>
        <w:t>1-тоқсанның қорытындысы бойынша 2024 жылғы 1 сәуірдегі жағдай бойынша мерзімі өткен кредиторлық берешек жоқ.</w:t>
      </w:r>
    </w:p>
    <w:p w:rsidR="003F0A2D" w:rsidRPr="00312D27" w:rsidRDefault="003F0A2D" w:rsidP="00B04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073C6" w:rsidRPr="00312D27" w:rsidRDefault="00D073C6" w:rsidP="00B04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3F0A2D" w:rsidRPr="00312D27" w:rsidRDefault="003F0A2D" w:rsidP="00B044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12D27">
        <w:rPr>
          <w:rFonts w:ascii="Times New Roman" w:hAnsi="Times New Roman" w:cs="Times New Roman"/>
          <w:b/>
          <w:bCs/>
          <w:sz w:val="20"/>
          <w:szCs w:val="20"/>
        </w:rPr>
        <w:t xml:space="preserve">Директор                                                                               </w:t>
      </w:r>
      <w:r w:rsidR="00D073C6" w:rsidRPr="00312D27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                             </w:t>
      </w:r>
      <w:r w:rsidRPr="00312D27">
        <w:rPr>
          <w:rFonts w:ascii="Times New Roman" w:hAnsi="Times New Roman" w:cs="Times New Roman"/>
          <w:b/>
          <w:bCs/>
          <w:sz w:val="20"/>
          <w:szCs w:val="20"/>
        </w:rPr>
        <w:t xml:space="preserve">С. </w:t>
      </w:r>
      <w:proofErr w:type="spellStart"/>
      <w:r w:rsidRPr="00312D27">
        <w:rPr>
          <w:rFonts w:ascii="Times New Roman" w:hAnsi="Times New Roman" w:cs="Times New Roman"/>
          <w:b/>
          <w:bCs/>
          <w:sz w:val="20"/>
          <w:szCs w:val="20"/>
        </w:rPr>
        <w:t>Нурашева</w:t>
      </w:r>
      <w:proofErr w:type="spellEnd"/>
    </w:p>
    <w:p w:rsidR="003F0A2D" w:rsidRPr="00312D27" w:rsidRDefault="003F0A2D" w:rsidP="00B04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E12986" w:rsidRPr="00312D27" w:rsidRDefault="00E12986" w:rsidP="00B0447F">
      <w:pPr>
        <w:spacing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9453AE" w:rsidRPr="002735A8" w:rsidRDefault="0064607E" w:rsidP="00B0447F">
      <w:pPr>
        <w:spacing w:line="240" w:lineRule="auto"/>
        <w:rPr>
          <w:sz w:val="24"/>
          <w:szCs w:val="24"/>
          <w:lang w:val="kk-KZ"/>
        </w:rPr>
      </w:pPr>
    </w:p>
    <w:sectPr w:rsidR="009453AE" w:rsidRPr="002735A8" w:rsidSect="00B044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1F"/>
    <w:rsid w:val="00012AEB"/>
    <w:rsid w:val="001A6D00"/>
    <w:rsid w:val="002735A8"/>
    <w:rsid w:val="00296C26"/>
    <w:rsid w:val="002A3E1F"/>
    <w:rsid w:val="00312D27"/>
    <w:rsid w:val="003254B3"/>
    <w:rsid w:val="003717F3"/>
    <w:rsid w:val="003A77C0"/>
    <w:rsid w:val="003E43B9"/>
    <w:rsid w:val="003F0A2D"/>
    <w:rsid w:val="004047F1"/>
    <w:rsid w:val="004379B1"/>
    <w:rsid w:val="00447EFF"/>
    <w:rsid w:val="00490AEE"/>
    <w:rsid w:val="005D5B11"/>
    <w:rsid w:val="0064607E"/>
    <w:rsid w:val="006555F9"/>
    <w:rsid w:val="00701FBA"/>
    <w:rsid w:val="007274C7"/>
    <w:rsid w:val="0082122E"/>
    <w:rsid w:val="00851B0D"/>
    <w:rsid w:val="008B6D82"/>
    <w:rsid w:val="00960229"/>
    <w:rsid w:val="009C16DB"/>
    <w:rsid w:val="00A2532D"/>
    <w:rsid w:val="00B0447F"/>
    <w:rsid w:val="00B25B85"/>
    <w:rsid w:val="00B421F7"/>
    <w:rsid w:val="00B45E76"/>
    <w:rsid w:val="00B61C23"/>
    <w:rsid w:val="00C2070E"/>
    <w:rsid w:val="00C362AD"/>
    <w:rsid w:val="00C713EE"/>
    <w:rsid w:val="00D073C6"/>
    <w:rsid w:val="00DD4AA5"/>
    <w:rsid w:val="00DF5797"/>
    <w:rsid w:val="00E12986"/>
    <w:rsid w:val="00E6482E"/>
    <w:rsid w:val="00EE4D27"/>
    <w:rsid w:val="00EE619C"/>
    <w:rsid w:val="00F6709B"/>
    <w:rsid w:val="00FB1BD8"/>
    <w:rsid w:val="00FB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E6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61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E619C"/>
  </w:style>
  <w:style w:type="table" w:styleId="a3">
    <w:name w:val="Table Grid"/>
    <w:basedOn w:val="a1"/>
    <w:uiPriority w:val="39"/>
    <w:rsid w:val="00E12986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E6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61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EE619C"/>
  </w:style>
  <w:style w:type="table" w:styleId="a3">
    <w:name w:val="Table Grid"/>
    <w:basedOn w:val="a1"/>
    <w:uiPriority w:val="39"/>
    <w:rsid w:val="00E12986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5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71</cp:revision>
  <cp:lastPrinted>2025-02-11T11:07:00Z</cp:lastPrinted>
  <dcterms:created xsi:type="dcterms:W3CDTF">2025-02-04T08:07:00Z</dcterms:created>
  <dcterms:modified xsi:type="dcterms:W3CDTF">2025-02-11T11:45:00Z</dcterms:modified>
</cp:coreProperties>
</file>